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15" w:rsidRPr="00B567D6" w:rsidRDefault="00120B15" w:rsidP="00120B15">
      <w:pPr>
        <w:pStyle w:val="NormalWeb"/>
        <w:shd w:val="clear" w:color="auto" w:fill="FFFFFF"/>
        <w:spacing w:before="0" w:beforeAutospacing="0" w:after="120" w:afterAutospacing="0" w:line="264" w:lineRule="atLeast"/>
        <w:textAlignment w:val="baseline"/>
        <w:rPr>
          <w:rFonts w:ascii="Arial" w:hAnsi="Arial" w:cs="Arial"/>
          <w:b/>
          <w:color w:val="222222"/>
        </w:rPr>
      </w:pPr>
      <w:r w:rsidRPr="00B567D6">
        <w:rPr>
          <w:rFonts w:ascii="Arial" w:hAnsi="Arial" w:cs="Arial"/>
          <w:b/>
          <w:color w:val="222222"/>
        </w:rPr>
        <w:t>Internal Assessment (Mathematical Exploration)</w:t>
      </w:r>
    </w:p>
    <w:p w:rsidR="00120B15" w:rsidRDefault="00120B15" w:rsidP="00120B15">
      <w:pPr>
        <w:pStyle w:val="NormalWeb"/>
        <w:shd w:val="clear" w:color="auto" w:fill="FFFFFF"/>
        <w:spacing w:before="0" w:beforeAutospacing="0" w:after="120" w:afterAutospacing="0" w:line="264" w:lineRule="atLeast"/>
        <w:textAlignment w:val="baseline"/>
        <w:rPr>
          <w:rFonts w:ascii="Arial" w:hAnsi="Arial" w:cs="Arial"/>
          <w:color w:val="222222"/>
          <w:sz w:val="16"/>
          <w:szCs w:val="16"/>
        </w:rPr>
      </w:pPr>
      <w:r>
        <w:rPr>
          <w:rFonts w:ascii="Arial" w:hAnsi="Arial" w:cs="Arial"/>
          <w:color w:val="222222"/>
          <w:sz w:val="16"/>
          <w:szCs w:val="16"/>
        </w:rPr>
        <w:t>The internally assessed component in this course is a mathematical exploration. This is a short report written by the student based on a topic chosen by him or her, and it should focus on the mathematics of that particular area. The emphasis is on mathematical communication (including formulae, diagrams, graphs and so on), with accompanying commentary, good mathematical writing and thoughtful reflection. A student should develop his or her own focus, with the teacher providing feedback via, for example, discussion and interview. This will allow all students to develop an area of interest for them, without a time constraint as in an examination, and will allow all to experience a feeling of success.</w:t>
      </w:r>
    </w:p>
    <w:p w:rsidR="00120B15" w:rsidRDefault="00120B15" w:rsidP="00120B15">
      <w:pPr>
        <w:pStyle w:val="NormalWeb"/>
        <w:shd w:val="clear" w:color="auto" w:fill="FFFFFF"/>
        <w:spacing w:before="0" w:beforeAutospacing="0" w:after="120" w:afterAutospacing="0" w:line="264" w:lineRule="atLeast"/>
        <w:textAlignment w:val="baseline"/>
        <w:rPr>
          <w:rFonts w:ascii="Arial" w:hAnsi="Arial" w:cs="Arial"/>
          <w:color w:val="222222"/>
          <w:sz w:val="16"/>
          <w:szCs w:val="16"/>
        </w:rPr>
      </w:pPr>
      <w:r>
        <w:rPr>
          <w:rFonts w:ascii="Arial" w:hAnsi="Arial" w:cs="Arial"/>
          <w:color w:val="222222"/>
          <w:sz w:val="16"/>
          <w:szCs w:val="16"/>
        </w:rPr>
        <w:t>In addition to testing the objectives of the courses, the exploration is intended to provide students with opportunities to increase their understanding of mathematical concepts and processes, and to develop a wider appreciation of mathematics. These are noted in the aims of the courses,</w:t>
      </w:r>
      <w:r>
        <w:rPr>
          <w:rStyle w:val="apple-converted-space"/>
          <w:rFonts w:ascii="Arial" w:hAnsi="Arial" w:cs="Arial"/>
          <w:color w:val="222222"/>
          <w:sz w:val="16"/>
          <w:szCs w:val="16"/>
        </w:rPr>
        <w:t> </w:t>
      </w:r>
      <w:r>
        <w:rPr>
          <w:rStyle w:val="Strong"/>
          <w:rFonts w:ascii="Arial" w:hAnsi="Arial" w:cs="Arial"/>
          <w:color w:val="222222"/>
          <w:sz w:val="16"/>
          <w:szCs w:val="16"/>
        </w:rPr>
        <w:t>in particular aims 6–9 (applications, technology, moral, social and ethical implications, and the international dimension)</w:t>
      </w:r>
      <w:r>
        <w:rPr>
          <w:rFonts w:ascii="Arial" w:hAnsi="Arial" w:cs="Arial"/>
          <w:color w:val="222222"/>
          <w:sz w:val="16"/>
          <w:szCs w:val="16"/>
        </w:rPr>
        <w:t>. It is intended that, by doing the exploration, students benefit from the mathematical activities undertaken and find them both stimulating and rewarding. It will enable students to acquire the attributes of the IB learner profile.</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Each exploration should be assessed against the following five criteria.</w:t>
      </w:r>
    </w:p>
    <w:tbl>
      <w:tblPr>
        <w:tblW w:w="4888" w:type="dxa"/>
        <w:shd w:val="clear" w:color="auto" w:fill="FFFFFF"/>
        <w:tblCellMar>
          <w:left w:w="0" w:type="dxa"/>
          <w:right w:w="0" w:type="dxa"/>
        </w:tblCellMar>
        <w:tblLook w:val="04A0"/>
      </w:tblPr>
      <w:tblGrid>
        <w:gridCol w:w="1196"/>
        <w:gridCol w:w="3692"/>
      </w:tblGrid>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Criterion A</w:t>
            </w:r>
          </w:p>
        </w:tc>
        <w:tc>
          <w:tcPr>
            <w:tcW w:w="3692" w:type="dxa"/>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Communication</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Criterion B</w:t>
            </w:r>
          </w:p>
        </w:tc>
        <w:tc>
          <w:tcPr>
            <w:tcW w:w="3692" w:type="dxa"/>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Mathematical presentation</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Criterion C</w:t>
            </w:r>
          </w:p>
        </w:tc>
        <w:tc>
          <w:tcPr>
            <w:tcW w:w="3692" w:type="dxa"/>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Personal engagement</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Criterion D</w:t>
            </w:r>
          </w:p>
        </w:tc>
        <w:tc>
          <w:tcPr>
            <w:tcW w:w="3692" w:type="dxa"/>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Reflection</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Criterion E</w:t>
            </w:r>
          </w:p>
        </w:tc>
        <w:tc>
          <w:tcPr>
            <w:tcW w:w="3692" w:type="dxa"/>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Use of mathematics</w:t>
            </w:r>
          </w:p>
        </w:tc>
      </w:tr>
    </w:tbl>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The descriptions of the achievement levels for each of these five assessment criteria follow and it is important to note that each achievement level represents the</w:t>
      </w:r>
      <w:r w:rsidRPr="00120B15">
        <w:rPr>
          <w:rFonts w:ascii="Arial" w:eastAsia="Times New Roman" w:hAnsi="Arial" w:cs="Arial"/>
          <w:color w:val="222222"/>
          <w:sz w:val="16"/>
        </w:rPr>
        <w:t> </w:t>
      </w:r>
      <w:r w:rsidRPr="00120B15">
        <w:rPr>
          <w:rFonts w:ascii="Arial" w:eastAsia="Times New Roman" w:hAnsi="Arial" w:cs="Arial"/>
          <w:b/>
          <w:bCs/>
          <w:color w:val="222222"/>
          <w:sz w:val="16"/>
        </w:rPr>
        <w:t>minimum</w:t>
      </w:r>
      <w:r w:rsidRPr="00120B15">
        <w:rPr>
          <w:rFonts w:ascii="Arial" w:eastAsia="Times New Roman" w:hAnsi="Arial" w:cs="Arial"/>
          <w:color w:val="222222"/>
          <w:sz w:val="16"/>
        </w:rPr>
        <w:t> </w:t>
      </w:r>
      <w:r w:rsidRPr="00120B15">
        <w:rPr>
          <w:rFonts w:ascii="Arial" w:eastAsia="Times New Roman" w:hAnsi="Arial" w:cs="Arial"/>
          <w:color w:val="222222"/>
          <w:sz w:val="16"/>
          <w:szCs w:val="16"/>
        </w:rPr>
        <w:t>requirement for that level to be awarded. The final mark for each exploration is obtained by adding together the achievement levels awarded for each criterion A–E. It should be noted that the descriptors for criterion E are different for mathematics SL and mathematics HL.</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The maximum possible mark is 20.</w:t>
      </w:r>
    </w:p>
    <w:p w:rsidR="00B567D6" w:rsidRDefault="00B567D6">
      <w:pPr>
        <w:rPr>
          <w:rFonts w:ascii="Arial" w:eastAsia="Times New Roman" w:hAnsi="Arial" w:cs="Arial"/>
          <w:b/>
          <w:bCs/>
          <w:color w:val="888888"/>
          <w:sz w:val="28"/>
          <w:szCs w:val="28"/>
        </w:rPr>
      </w:pPr>
      <w:r>
        <w:rPr>
          <w:rFonts w:ascii="Arial" w:eastAsia="Times New Roman" w:hAnsi="Arial" w:cs="Arial"/>
          <w:b/>
          <w:bCs/>
          <w:color w:val="888888"/>
          <w:sz w:val="28"/>
          <w:szCs w:val="28"/>
        </w:rPr>
        <w:br w:type="page"/>
      </w:r>
    </w:p>
    <w:p w:rsidR="00120B15" w:rsidRPr="00120B15" w:rsidRDefault="00120B15" w:rsidP="00120B15">
      <w:pPr>
        <w:shd w:val="clear" w:color="auto" w:fill="FFFFFF"/>
        <w:spacing w:before="360" w:after="240" w:line="240" w:lineRule="auto"/>
        <w:textAlignment w:val="baseline"/>
        <w:outlineLvl w:val="2"/>
        <w:rPr>
          <w:rFonts w:ascii="Arial" w:eastAsia="Times New Roman" w:hAnsi="Arial" w:cs="Arial"/>
          <w:b/>
          <w:bCs/>
          <w:color w:val="888888"/>
          <w:sz w:val="28"/>
          <w:szCs w:val="28"/>
        </w:rPr>
      </w:pPr>
      <w:r w:rsidRPr="00120B15">
        <w:rPr>
          <w:rFonts w:ascii="Arial" w:eastAsia="Times New Roman" w:hAnsi="Arial" w:cs="Arial"/>
          <w:b/>
          <w:bCs/>
          <w:color w:val="888888"/>
          <w:sz w:val="28"/>
          <w:szCs w:val="28"/>
        </w:rPr>
        <w:lastRenderedPageBreak/>
        <w:t>Applying the assessment criteria</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The method of assessment used is criterion referenced, not norm referenced. That is, the method of assessing each exploration judges students by their performance in relation to identified assessment criteria and not in relation to the work of other students.</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Each exploration submitted for mathematics SL or mathematics HL is assessed against the five criteria A to E. For each assessment criterion, different levels of achievement are described that concentrate on positive achievement. The description of each achievement level represents the minimum requirement for that level to be achieved.</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The aim is to find, for each criterion, the level descriptor that conveys most adequately the achievement level attained by the student.</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Teachers should read the description of each achievement level, starting with level 0, until one is reached that describes a level of achievement that has</w:t>
      </w:r>
      <w:r w:rsidRPr="00120B15">
        <w:rPr>
          <w:rFonts w:ascii="Arial" w:eastAsia="Times New Roman" w:hAnsi="Arial" w:cs="Arial"/>
          <w:color w:val="222222"/>
          <w:sz w:val="16"/>
        </w:rPr>
        <w:t> </w:t>
      </w:r>
      <w:r w:rsidRPr="00120B15">
        <w:rPr>
          <w:rFonts w:ascii="Arial" w:eastAsia="Times New Roman" w:hAnsi="Arial" w:cs="Arial"/>
          <w:b/>
          <w:bCs/>
          <w:color w:val="222222"/>
          <w:sz w:val="16"/>
        </w:rPr>
        <w:t>not</w:t>
      </w:r>
      <w:r w:rsidRPr="00120B15">
        <w:rPr>
          <w:rFonts w:ascii="Arial" w:eastAsia="Times New Roman" w:hAnsi="Arial" w:cs="Arial"/>
          <w:color w:val="222222"/>
          <w:sz w:val="16"/>
        </w:rPr>
        <w:t> </w:t>
      </w:r>
      <w:r w:rsidRPr="00120B15">
        <w:rPr>
          <w:rFonts w:ascii="Arial" w:eastAsia="Times New Roman" w:hAnsi="Arial" w:cs="Arial"/>
          <w:color w:val="222222"/>
          <w:sz w:val="16"/>
          <w:szCs w:val="16"/>
        </w:rPr>
        <w:t>been reached. The level of achievement gained by the student is therefore the preceding one, and it is this that should be recorded.</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For example, when considering successive achievement levels for a particular criterion, if the description for level 3 does not apply, then level 2 should be recorded.</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For each criterion, whole numbers only may be recorded; fractions and decimals are not acceptable.</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The highest achievement levels do not imply faultless performance, and teachers should not hesitate to use the extremes, including 0, if they are appropriate descriptions of the work being assessed.</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A student who attains a high level of achievement in relation to one criterion will not necessarily attain high levels of achievement in relation to the other criteria. Similarly, a student who attains a low level of achievement for one criterion will not necessarily attain low achievement levels for the other criteria. Teachers should not assume that the overall assessment of the students will produce any particular distribution of marks.</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It is expected that the assessment criteria be available to students at all times. Descriptors of the achievement levels for each assessment criterion are given in the tables in the following section. Within the tables, for each achievement level, there is a link to an exploration within this TSM that achieved that level for that particular criterion.</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b/>
          <w:bCs/>
          <w:color w:val="222222"/>
          <w:sz w:val="16"/>
        </w:rPr>
        <w:t>Students should be made aware that they will not receive a grade for mathematics SL or mathematics HL if they have not submitted an exploration.</w:t>
      </w:r>
    </w:p>
    <w:p w:rsidR="00B567D6" w:rsidRDefault="00B567D6">
      <w:pPr>
        <w:rPr>
          <w:rFonts w:ascii="Arial" w:eastAsia="Times New Roman" w:hAnsi="Arial" w:cs="Arial"/>
          <w:b/>
          <w:bCs/>
          <w:color w:val="888888"/>
          <w:sz w:val="28"/>
          <w:szCs w:val="28"/>
        </w:rPr>
      </w:pPr>
      <w:r>
        <w:rPr>
          <w:rFonts w:ascii="Arial" w:eastAsia="Times New Roman" w:hAnsi="Arial" w:cs="Arial"/>
          <w:b/>
          <w:bCs/>
          <w:color w:val="888888"/>
          <w:sz w:val="28"/>
          <w:szCs w:val="28"/>
        </w:rPr>
        <w:br w:type="page"/>
      </w:r>
    </w:p>
    <w:p w:rsidR="00120B15" w:rsidRPr="00120B15" w:rsidRDefault="00120B15" w:rsidP="00120B15">
      <w:pPr>
        <w:shd w:val="clear" w:color="auto" w:fill="FFFFFF"/>
        <w:spacing w:before="360" w:after="240" w:line="240" w:lineRule="auto"/>
        <w:textAlignment w:val="baseline"/>
        <w:outlineLvl w:val="2"/>
        <w:rPr>
          <w:rFonts w:ascii="Arial" w:eastAsia="Times New Roman" w:hAnsi="Arial" w:cs="Arial"/>
          <w:b/>
          <w:bCs/>
          <w:color w:val="888888"/>
          <w:sz w:val="28"/>
          <w:szCs w:val="28"/>
        </w:rPr>
      </w:pPr>
      <w:r w:rsidRPr="00120B15">
        <w:rPr>
          <w:rFonts w:ascii="Arial" w:eastAsia="Times New Roman" w:hAnsi="Arial" w:cs="Arial"/>
          <w:b/>
          <w:bCs/>
          <w:color w:val="888888"/>
          <w:sz w:val="28"/>
          <w:szCs w:val="28"/>
        </w:rPr>
        <w:lastRenderedPageBreak/>
        <w:t>Achievement levels</w:t>
      </w:r>
    </w:p>
    <w:p w:rsidR="00120B15" w:rsidRPr="00120B15" w:rsidRDefault="00120B15" w:rsidP="00120B15">
      <w:pPr>
        <w:shd w:val="clear" w:color="auto" w:fill="FFFFFF"/>
        <w:spacing w:before="240" w:after="120" w:line="240" w:lineRule="auto"/>
        <w:textAlignment w:val="baseline"/>
        <w:outlineLvl w:val="3"/>
        <w:rPr>
          <w:rFonts w:ascii="Arial" w:eastAsia="Times New Roman" w:hAnsi="Arial" w:cs="Arial"/>
          <w:b/>
          <w:bCs/>
          <w:color w:val="111111"/>
          <w:sz w:val="23"/>
          <w:szCs w:val="23"/>
        </w:rPr>
      </w:pPr>
      <w:r w:rsidRPr="00120B15">
        <w:rPr>
          <w:rFonts w:ascii="Arial" w:eastAsia="Times New Roman" w:hAnsi="Arial" w:cs="Arial"/>
          <w:b/>
          <w:bCs/>
          <w:color w:val="111111"/>
          <w:sz w:val="23"/>
          <w:szCs w:val="23"/>
        </w:rPr>
        <w:t>Criterion A: Communication</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This criterion assesses the organization and coherence of the exploration. A well-organized exploration contains an introduction, has a rationale (which includes explaining why this topic was chosen), describes the aim of the exploration and has a conclusion. A coherent exploration is logically developed and easy to follow.</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Graphs, tables and diagrams should accompany the work in the appropriate place and not be attached as appendices to the document.</w:t>
      </w:r>
    </w:p>
    <w:tbl>
      <w:tblPr>
        <w:tblW w:w="9806" w:type="dxa"/>
        <w:shd w:val="clear" w:color="auto" w:fill="FFFFFF"/>
        <w:tblCellMar>
          <w:left w:w="0" w:type="dxa"/>
          <w:right w:w="0" w:type="dxa"/>
        </w:tblCellMar>
        <w:tblLook w:val="04A0"/>
      </w:tblPr>
      <w:tblGrid>
        <w:gridCol w:w="1328"/>
        <w:gridCol w:w="8478"/>
      </w:tblGrid>
      <w:tr w:rsidR="00120B15" w:rsidRPr="00120B15" w:rsidTr="00120B15">
        <w:tc>
          <w:tcPr>
            <w:tcW w:w="127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Achievement level</w:t>
            </w:r>
          </w:p>
        </w:tc>
        <w:tc>
          <w:tcPr>
            <w:tcW w:w="811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Descriptor</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does not reach the standard described by the descriptors below.</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has some coherence.</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has some coherence and shows some organization.</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5" w:history="1">
              <w:r w:rsidRPr="00120B15">
                <w:rPr>
                  <w:rFonts w:ascii="inherit" w:eastAsia="Times New Roman" w:hAnsi="inherit" w:cs="Arial"/>
                  <w:b/>
                  <w:bCs/>
                  <w:color w:val="094DE0"/>
                  <w:sz w:val="16"/>
                  <w:u w:val="single"/>
                </w:rPr>
                <w:t>Example 1</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is coherent and well organized.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6" w:history="1">
              <w:r w:rsidRPr="00120B15">
                <w:rPr>
                  <w:rFonts w:ascii="inherit" w:eastAsia="Times New Roman" w:hAnsi="inherit" w:cs="Arial"/>
                  <w:b/>
                  <w:bCs/>
                  <w:color w:val="094DE0"/>
                  <w:sz w:val="16"/>
                  <w:u w:val="single"/>
                </w:rPr>
                <w:t>Example 8</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is coherent, well organized, concise and complete.</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7" w:history="1">
              <w:r w:rsidRPr="00120B15">
                <w:rPr>
                  <w:rFonts w:ascii="inherit" w:eastAsia="Times New Roman" w:hAnsi="inherit" w:cs="Arial"/>
                  <w:b/>
                  <w:bCs/>
                  <w:color w:val="094DE0"/>
                  <w:sz w:val="16"/>
                  <w:u w:val="single"/>
                </w:rPr>
                <w:t>Example 9</w:t>
              </w:r>
            </w:hyperlink>
          </w:p>
        </w:tc>
      </w:tr>
    </w:tbl>
    <w:p w:rsidR="00120B15" w:rsidRPr="00120B15" w:rsidRDefault="00120B15" w:rsidP="00120B15">
      <w:pPr>
        <w:shd w:val="clear" w:color="auto" w:fill="FFFFFF"/>
        <w:spacing w:before="240" w:after="120" w:line="240" w:lineRule="auto"/>
        <w:textAlignment w:val="baseline"/>
        <w:outlineLvl w:val="3"/>
        <w:rPr>
          <w:rFonts w:ascii="Arial" w:eastAsia="Times New Roman" w:hAnsi="Arial" w:cs="Arial"/>
          <w:b/>
          <w:bCs/>
          <w:color w:val="111111"/>
          <w:sz w:val="23"/>
          <w:szCs w:val="23"/>
        </w:rPr>
      </w:pPr>
      <w:r w:rsidRPr="00120B15">
        <w:rPr>
          <w:rFonts w:ascii="Arial" w:eastAsia="Times New Roman" w:hAnsi="Arial" w:cs="Arial"/>
          <w:b/>
          <w:bCs/>
          <w:color w:val="111111"/>
          <w:sz w:val="23"/>
          <w:szCs w:val="23"/>
        </w:rPr>
        <w:t>Criterion B: Mathematical presentation</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This criterion assesses to what extent the student is able to:</w:t>
      </w:r>
    </w:p>
    <w:p w:rsidR="00120B15" w:rsidRPr="00120B15" w:rsidRDefault="00120B15" w:rsidP="00120B15">
      <w:pPr>
        <w:numPr>
          <w:ilvl w:val="0"/>
          <w:numId w:val="1"/>
        </w:numPr>
        <w:shd w:val="clear" w:color="auto" w:fill="FFFFFF"/>
        <w:spacing w:after="120" w:line="264" w:lineRule="atLeast"/>
        <w:ind w:left="0" w:right="360"/>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use appropriate mathematical language (notation, symbols, terminology)</w:t>
      </w:r>
    </w:p>
    <w:p w:rsidR="00120B15" w:rsidRPr="00120B15" w:rsidRDefault="00120B15" w:rsidP="00120B15">
      <w:pPr>
        <w:numPr>
          <w:ilvl w:val="0"/>
          <w:numId w:val="1"/>
        </w:numPr>
        <w:shd w:val="clear" w:color="auto" w:fill="FFFFFF"/>
        <w:spacing w:after="120" w:line="264" w:lineRule="atLeast"/>
        <w:ind w:left="0" w:right="360"/>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define key terms, where required</w:t>
      </w:r>
    </w:p>
    <w:p w:rsidR="00120B15" w:rsidRPr="00120B15" w:rsidRDefault="00120B15" w:rsidP="00120B15">
      <w:pPr>
        <w:numPr>
          <w:ilvl w:val="0"/>
          <w:numId w:val="1"/>
        </w:numPr>
        <w:shd w:val="clear" w:color="auto" w:fill="FFFFFF"/>
        <w:spacing w:after="120" w:line="264" w:lineRule="atLeast"/>
        <w:ind w:left="0" w:right="360"/>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use multiple forms of mathematical representation such as formulae, diagrams, tables, charts, graphs and models, where appropriate.</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Students are expected to use mathematical language when communicating mathematical ideas, reasoning and findings.</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Students are encouraged to choose and use appropriate ICT tools such as graphic display calculators, screenshots, graphing, spreadsheets, databases, drawing and word processing software, as appropriate, to enhance mathematical communication.</w:t>
      </w:r>
    </w:p>
    <w:tbl>
      <w:tblPr>
        <w:tblW w:w="9806" w:type="dxa"/>
        <w:shd w:val="clear" w:color="auto" w:fill="FFFFFF"/>
        <w:tblCellMar>
          <w:left w:w="0" w:type="dxa"/>
          <w:right w:w="0" w:type="dxa"/>
        </w:tblCellMar>
        <w:tblLook w:val="04A0"/>
      </w:tblPr>
      <w:tblGrid>
        <w:gridCol w:w="1328"/>
        <w:gridCol w:w="8478"/>
      </w:tblGrid>
      <w:tr w:rsidR="00120B15" w:rsidRPr="00120B15" w:rsidTr="00120B15">
        <w:tc>
          <w:tcPr>
            <w:tcW w:w="127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Achievement level</w:t>
            </w:r>
          </w:p>
        </w:tc>
        <w:tc>
          <w:tcPr>
            <w:tcW w:w="811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Descriptor</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does not reach the standard described by the descriptors below.</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some appropriate mathematical presentation.</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8" w:history="1">
              <w:r w:rsidRPr="00120B15">
                <w:rPr>
                  <w:rFonts w:ascii="inherit" w:eastAsia="Times New Roman" w:hAnsi="inherit" w:cs="Arial"/>
                  <w:b/>
                  <w:bCs/>
                  <w:color w:val="094DE0"/>
                  <w:sz w:val="16"/>
                  <w:u w:val="single"/>
                </w:rPr>
                <w:t>Example 4</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mathematical presentation is mostly appropriate.</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9" w:history="1">
              <w:r w:rsidRPr="00120B15">
                <w:rPr>
                  <w:rFonts w:ascii="inherit" w:eastAsia="Times New Roman" w:hAnsi="inherit" w:cs="Arial"/>
                  <w:b/>
                  <w:bCs/>
                  <w:color w:val="094DE0"/>
                  <w:sz w:val="16"/>
                  <w:u w:val="single"/>
                </w:rPr>
                <w:t>Example 9</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mathematical presentation is appropriate throughout.</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0" w:history="1">
              <w:r w:rsidRPr="00120B15">
                <w:rPr>
                  <w:rFonts w:ascii="inherit" w:eastAsia="Times New Roman" w:hAnsi="inherit" w:cs="Arial"/>
                  <w:b/>
                  <w:bCs/>
                  <w:color w:val="094DE0"/>
                  <w:sz w:val="16"/>
                  <w:u w:val="single"/>
                </w:rPr>
                <w:t>Example 1</w:t>
              </w:r>
            </w:hyperlink>
          </w:p>
        </w:tc>
      </w:tr>
    </w:tbl>
    <w:p w:rsidR="00120B15" w:rsidRPr="00120B15" w:rsidRDefault="00120B15" w:rsidP="00120B15">
      <w:pPr>
        <w:shd w:val="clear" w:color="auto" w:fill="FFFFFF"/>
        <w:spacing w:before="240" w:after="120" w:line="240" w:lineRule="auto"/>
        <w:textAlignment w:val="baseline"/>
        <w:outlineLvl w:val="3"/>
        <w:rPr>
          <w:rFonts w:ascii="Arial" w:eastAsia="Times New Roman" w:hAnsi="Arial" w:cs="Arial"/>
          <w:b/>
          <w:bCs/>
          <w:color w:val="111111"/>
          <w:sz w:val="23"/>
          <w:szCs w:val="23"/>
        </w:rPr>
      </w:pPr>
      <w:r w:rsidRPr="00120B15">
        <w:rPr>
          <w:rFonts w:ascii="Arial" w:eastAsia="Times New Roman" w:hAnsi="Arial" w:cs="Arial"/>
          <w:b/>
          <w:bCs/>
          <w:color w:val="111111"/>
          <w:sz w:val="23"/>
          <w:szCs w:val="23"/>
        </w:rPr>
        <w:lastRenderedPageBreak/>
        <w:t>Criterion C: Personal engagement</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This criterion assesses the extent to which the student engages with the exploration and makes it their own. Personal engagement may be recognized in different attributes and skills. These include thinking independently and/or creatively, addressing personal interest and presenting mathematical ideas in their own way.</w:t>
      </w:r>
    </w:p>
    <w:tbl>
      <w:tblPr>
        <w:tblW w:w="9806" w:type="dxa"/>
        <w:shd w:val="clear" w:color="auto" w:fill="FFFFFF"/>
        <w:tblCellMar>
          <w:left w:w="0" w:type="dxa"/>
          <w:right w:w="0" w:type="dxa"/>
        </w:tblCellMar>
        <w:tblLook w:val="04A0"/>
      </w:tblPr>
      <w:tblGrid>
        <w:gridCol w:w="1328"/>
        <w:gridCol w:w="8478"/>
      </w:tblGrid>
      <w:tr w:rsidR="00120B15" w:rsidRPr="00120B15" w:rsidTr="00120B15">
        <w:tc>
          <w:tcPr>
            <w:tcW w:w="127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Achievement level</w:t>
            </w:r>
          </w:p>
        </w:tc>
        <w:tc>
          <w:tcPr>
            <w:tcW w:w="811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Descriptor</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does not reach the standard described by the descriptors below.</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evidence of limited or superficial personal engagement.</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1" w:history="1">
              <w:r w:rsidRPr="00120B15">
                <w:rPr>
                  <w:rFonts w:ascii="inherit" w:eastAsia="Times New Roman" w:hAnsi="inherit" w:cs="Arial"/>
                  <w:b/>
                  <w:bCs/>
                  <w:color w:val="094DE0"/>
                  <w:sz w:val="16"/>
                  <w:u w:val="single"/>
                </w:rPr>
                <w:t>Example 3</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evidence of some personal engagement.</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2" w:history="1">
              <w:r w:rsidRPr="00120B15">
                <w:rPr>
                  <w:rFonts w:ascii="inherit" w:eastAsia="Times New Roman" w:hAnsi="inherit" w:cs="Arial"/>
                  <w:b/>
                  <w:bCs/>
                  <w:color w:val="094DE0"/>
                  <w:sz w:val="16"/>
                  <w:u w:val="single"/>
                </w:rPr>
                <w:t>Example 5</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evidence of significant personal engagement.</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3" w:history="1">
              <w:r w:rsidRPr="00120B15">
                <w:rPr>
                  <w:rFonts w:ascii="inherit" w:eastAsia="Times New Roman" w:hAnsi="inherit" w:cs="Arial"/>
                  <w:b/>
                  <w:bCs/>
                  <w:color w:val="094DE0"/>
                  <w:sz w:val="16"/>
                  <w:u w:val="single"/>
                </w:rPr>
                <w:t>Example 7</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abundant evidence of outstanding personal engagement.</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4" w:history="1">
              <w:r w:rsidRPr="00120B15">
                <w:rPr>
                  <w:rFonts w:ascii="inherit" w:eastAsia="Times New Roman" w:hAnsi="inherit" w:cs="Arial"/>
                  <w:b/>
                  <w:bCs/>
                  <w:color w:val="094DE0"/>
                  <w:sz w:val="16"/>
                  <w:u w:val="single"/>
                </w:rPr>
                <w:t>Example 6</w:t>
              </w:r>
            </w:hyperlink>
          </w:p>
        </w:tc>
      </w:tr>
    </w:tbl>
    <w:p w:rsidR="00120B15" w:rsidRPr="00120B15" w:rsidRDefault="00120B15" w:rsidP="00120B15">
      <w:pPr>
        <w:shd w:val="clear" w:color="auto" w:fill="FFFFFF"/>
        <w:spacing w:before="240" w:after="120" w:line="240" w:lineRule="auto"/>
        <w:textAlignment w:val="baseline"/>
        <w:outlineLvl w:val="3"/>
        <w:rPr>
          <w:rFonts w:ascii="Arial" w:eastAsia="Times New Roman" w:hAnsi="Arial" w:cs="Arial"/>
          <w:b/>
          <w:bCs/>
          <w:color w:val="111111"/>
          <w:sz w:val="23"/>
          <w:szCs w:val="23"/>
        </w:rPr>
      </w:pPr>
      <w:r w:rsidRPr="00120B15">
        <w:rPr>
          <w:rFonts w:ascii="Arial" w:eastAsia="Times New Roman" w:hAnsi="Arial" w:cs="Arial"/>
          <w:b/>
          <w:bCs/>
          <w:color w:val="111111"/>
          <w:sz w:val="23"/>
          <w:szCs w:val="23"/>
        </w:rPr>
        <w:t>Criterion D: Reflection</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This criterion assesses how the student reviews, analyses and evaluates the exploration. Although reflection may be seen in the conclusion to the exploration, it may also be found throughout the exploration.</w:t>
      </w:r>
    </w:p>
    <w:tbl>
      <w:tblPr>
        <w:tblW w:w="9806" w:type="dxa"/>
        <w:shd w:val="clear" w:color="auto" w:fill="FFFFFF"/>
        <w:tblCellMar>
          <w:left w:w="0" w:type="dxa"/>
          <w:right w:w="0" w:type="dxa"/>
        </w:tblCellMar>
        <w:tblLook w:val="04A0"/>
      </w:tblPr>
      <w:tblGrid>
        <w:gridCol w:w="1328"/>
        <w:gridCol w:w="8478"/>
      </w:tblGrid>
      <w:tr w:rsidR="00120B15" w:rsidRPr="00120B15" w:rsidTr="00120B15">
        <w:tc>
          <w:tcPr>
            <w:tcW w:w="127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Achievement level</w:t>
            </w:r>
          </w:p>
        </w:tc>
        <w:tc>
          <w:tcPr>
            <w:tcW w:w="811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Descriptor</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does not reach the standard described by the descriptors below.</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evidence of limited or superficial reflection.</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5" w:history="1">
              <w:r w:rsidRPr="00120B15">
                <w:rPr>
                  <w:rFonts w:ascii="inherit" w:eastAsia="Times New Roman" w:hAnsi="inherit" w:cs="Arial"/>
                  <w:b/>
                  <w:bCs/>
                  <w:color w:val="094DE0"/>
                  <w:sz w:val="16"/>
                  <w:u w:val="single"/>
                </w:rPr>
                <w:t>Example 5</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evidence of meaningful reflection.</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6" w:history="1">
              <w:r w:rsidRPr="00120B15">
                <w:rPr>
                  <w:rFonts w:ascii="inherit" w:eastAsia="Times New Roman" w:hAnsi="inherit" w:cs="Arial"/>
                  <w:b/>
                  <w:bCs/>
                  <w:color w:val="094DE0"/>
                  <w:sz w:val="16"/>
                  <w:u w:val="single"/>
                </w:rPr>
                <w:t>Example 8</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There is substantial evidence of critical reflection.</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7" w:history="1">
              <w:r w:rsidRPr="00120B15">
                <w:rPr>
                  <w:rFonts w:ascii="inherit" w:eastAsia="Times New Roman" w:hAnsi="inherit" w:cs="Arial"/>
                  <w:b/>
                  <w:bCs/>
                  <w:color w:val="094DE0"/>
                  <w:sz w:val="16"/>
                  <w:u w:val="single"/>
                </w:rPr>
                <w:t>Example 6</w:t>
              </w:r>
            </w:hyperlink>
          </w:p>
        </w:tc>
      </w:tr>
    </w:tbl>
    <w:p w:rsidR="00B567D6" w:rsidRDefault="00B567D6" w:rsidP="00120B15">
      <w:pPr>
        <w:shd w:val="clear" w:color="auto" w:fill="FFFFFF"/>
        <w:spacing w:before="240" w:after="120" w:line="240" w:lineRule="auto"/>
        <w:textAlignment w:val="baseline"/>
        <w:outlineLvl w:val="3"/>
        <w:rPr>
          <w:rFonts w:ascii="Arial" w:eastAsia="Times New Roman" w:hAnsi="Arial" w:cs="Arial"/>
          <w:b/>
          <w:bCs/>
          <w:color w:val="111111"/>
          <w:sz w:val="23"/>
          <w:szCs w:val="23"/>
        </w:rPr>
      </w:pPr>
    </w:p>
    <w:p w:rsidR="00B567D6" w:rsidRDefault="00B567D6">
      <w:pPr>
        <w:rPr>
          <w:rFonts w:ascii="Arial" w:eastAsia="Times New Roman" w:hAnsi="Arial" w:cs="Arial"/>
          <w:b/>
          <w:bCs/>
          <w:color w:val="111111"/>
          <w:sz w:val="23"/>
          <w:szCs w:val="23"/>
        </w:rPr>
      </w:pPr>
      <w:r>
        <w:rPr>
          <w:rFonts w:ascii="Arial" w:eastAsia="Times New Roman" w:hAnsi="Arial" w:cs="Arial"/>
          <w:b/>
          <w:bCs/>
          <w:color w:val="111111"/>
          <w:sz w:val="23"/>
          <w:szCs w:val="23"/>
        </w:rPr>
        <w:br w:type="page"/>
      </w:r>
    </w:p>
    <w:p w:rsidR="00120B15" w:rsidRPr="00120B15" w:rsidRDefault="00120B15" w:rsidP="00120B15">
      <w:pPr>
        <w:shd w:val="clear" w:color="auto" w:fill="FFFFFF"/>
        <w:spacing w:before="240" w:after="120" w:line="240" w:lineRule="auto"/>
        <w:textAlignment w:val="baseline"/>
        <w:outlineLvl w:val="3"/>
        <w:rPr>
          <w:rFonts w:ascii="Arial" w:eastAsia="Times New Roman" w:hAnsi="Arial" w:cs="Arial"/>
          <w:b/>
          <w:bCs/>
          <w:color w:val="111111"/>
          <w:sz w:val="23"/>
          <w:szCs w:val="23"/>
        </w:rPr>
      </w:pPr>
      <w:r w:rsidRPr="00120B15">
        <w:rPr>
          <w:rFonts w:ascii="Arial" w:eastAsia="Times New Roman" w:hAnsi="Arial" w:cs="Arial"/>
          <w:b/>
          <w:bCs/>
          <w:color w:val="111111"/>
          <w:sz w:val="23"/>
          <w:szCs w:val="23"/>
        </w:rPr>
        <w:lastRenderedPageBreak/>
        <w:t>Criterion E: Use of mathematics</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The achievement levels and descriptors for criterion E are different for mathematics SL and mathematics HL.</w:t>
      </w:r>
    </w:p>
    <w:p w:rsidR="00120B15" w:rsidRPr="00120B15" w:rsidRDefault="00120B15" w:rsidP="00120B15">
      <w:pPr>
        <w:shd w:val="clear" w:color="auto" w:fill="FFFFFF"/>
        <w:spacing w:after="120" w:line="240" w:lineRule="auto"/>
        <w:textAlignment w:val="baseline"/>
        <w:outlineLvl w:val="4"/>
        <w:rPr>
          <w:rFonts w:ascii="Arial" w:eastAsia="Times New Roman" w:hAnsi="Arial" w:cs="Arial"/>
          <w:b/>
          <w:bCs/>
          <w:color w:val="111111"/>
          <w:sz w:val="21"/>
          <w:szCs w:val="21"/>
        </w:rPr>
      </w:pPr>
      <w:r w:rsidRPr="00120B15">
        <w:rPr>
          <w:rFonts w:ascii="Arial" w:eastAsia="Times New Roman" w:hAnsi="Arial" w:cs="Arial"/>
          <w:b/>
          <w:bCs/>
          <w:color w:val="111111"/>
          <w:sz w:val="21"/>
          <w:szCs w:val="21"/>
        </w:rPr>
        <w:t>SL only</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This criterion assesses to what extent students use mathematics in the exploration.</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Students are expected to produce work that is commensurate with the level of the course. The mathematics explored should either be part of the syllabus, or at a similar level or beyond. It should not be completely based on mathematics listed in the prior learning. If the level of mathematics is not commensurate with the level of the course, a maximum of two marks can be awarded for this criterion.</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A piece of mathematics can be regarded as correct even if there are occasional minor errors as long as they do not detract from the flow of the mathematics or lead to an unreasonable outcome.</w:t>
      </w:r>
    </w:p>
    <w:tbl>
      <w:tblPr>
        <w:tblW w:w="9806" w:type="dxa"/>
        <w:shd w:val="clear" w:color="auto" w:fill="FFFFFF"/>
        <w:tblCellMar>
          <w:left w:w="0" w:type="dxa"/>
          <w:right w:w="0" w:type="dxa"/>
        </w:tblCellMar>
        <w:tblLook w:val="04A0"/>
      </w:tblPr>
      <w:tblGrid>
        <w:gridCol w:w="1220"/>
        <w:gridCol w:w="8586"/>
      </w:tblGrid>
      <w:tr w:rsidR="00120B15" w:rsidRPr="00120B15" w:rsidTr="00120B15">
        <w:tc>
          <w:tcPr>
            <w:tcW w:w="127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Achievement level</w:t>
            </w:r>
          </w:p>
        </w:tc>
        <w:tc>
          <w:tcPr>
            <w:tcW w:w="811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Descriptor</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does not reach the standard described by the descriptors below.</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8" w:history="1">
              <w:r w:rsidRPr="00120B15">
                <w:rPr>
                  <w:rFonts w:ascii="inherit" w:eastAsia="Times New Roman" w:hAnsi="inherit" w:cs="Arial"/>
                  <w:b/>
                  <w:bCs/>
                  <w:color w:val="094DE0"/>
                  <w:sz w:val="16"/>
                  <w:u w:val="single"/>
                </w:rPr>
                <w:t>Example 3</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Some relevant mathematics is used.</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Some relevant mathematics is used. Limited understanding is demonstrated.</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Relevant mathematics commensurate with the level of the course is used. Limited understanding is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19" w:history="1">
              <w:r w:rsidRPr="00120B15">
                <w:rPr>
                  <w:rFonts w:ascii="inherit" w:eastAsia="Times New Roman" w:hAnsi="inherit" w:cs="Arial"/>
                  <w:b/>
                  <w:bCs/>
                  <w:color w:val="094DE0"/>
                  <w:sz w:val="16"/>
                  <w:u w:val="single"/>
                </w:rPr>
                <w:t>Example 4</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Relevant mathematics commensurate with the level of the course is used. The mathematics explored is partially correct. Some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0" w:history="1">
              <w:r w:rsidRPr="00120B15">
                <w:rPr>
                  <w:rFonts w:ascii="inherit" w:eastAsia="Times New Roman" w:hAnsi="inherit" w:cs="Arial"/>
                  <w:b/>
                  <w:bCs/>
                  <w:color w:val="094DE0"/>
                  <w:sz w:val="16"/>
                  <w:u w:val="single"/>
                </w:rPr>
                <w:t>Example 9</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Relevant mathematics commensurate with the level of the course is used. The mathematics explored is mostly correct. Good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1" w:history="1">
              <w:r w:rsidRPr="00120B15">
                <w:rPr>
                  <w:rFonts w:ascii="inherit" w:eastAsia="Times New Roman" w:hAnsi="inherit" w:cs="Arial"/>
                  <w:b/>
                  <w:bCs/>
                  <w:color w:val="094DE0"/>
                  <w:sz w:val="16"/>
                  <w:u w:val="single"/>
                </w:rPr>
                <w:t>Example 8</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Relevant mathematics commensurate with the level of the course is used. The mathematics explored is correct. Thorough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2" w:history="1">
              <w:r w:rsidRPr="00120B15">
                <w:rPr>
                  <w:rFonts w:ascii="inherit" w:eastAsia="Times New Roman" w:hAnsi="inherit" w:cs="Arial"/>
                  <w:b/>
                  <w:bCs/>
                  <w:color w:val="094DE0"/>
                  <w:sz w:val="16"/>
                  <w:u w:val="single"/>
                </w:rPr>
                <w:t>Example 2</w:t>
              </w:r>
            </w:hyperlink>
          </w:p>
        </w:tc>
      </w:tr>
    </w:tbl>
    <w:p w:rsidR="00B567D6" w:rsidRDefault="00B567D6" w:rsidP="00120B15">
      <w:pPr>
        <w:shd w:val="clear" w:color="auto" w:fill="FFFFFF"/>
        <w:spacing w:after="120" w:line="240" w:lineRule="auto"/>
        <w:textAlignment w:val="baseline"/>
        <w:outlineLvl w:val="4"/>
        <w:rPr>
          <w:rFonts w:ascii="Arial" w:eastAsia="Times New Roman" w:hAnsi="Arial" w:cs="Arial"/>
          <w:b/>
          <w:bCs/>
          <w:color w:val="111111"/>
          <w:sz w:val="21"/>
          <w:szCs w:val="21"/>
        </w:rPr>
      </w:pPr>
    </w:p>
    <w:p w:rsidR="00B567D6" w:rsidRDefault="00B567D6">
      <w:pPr>
        <w:rPr>
          <w:rFonts w:ascii="Arial" w:eastAsia="Times New Roman" w:hAnsi="Arial" w:cs="Arial"/>
          <w:b/>
          <w:bCs/>
          <w:color w:val="111111"/>
          <w:sz w:val="21"/>
          <w:szCs w:val="21"/>
        </w:rPr>
      </w:pPr>
      <w:r>
        <w:rPr>
          <w:rFonts w:ascii="Arial" w:eastAsia="Times New Roman" w:hAnsi="Arial" w:cs="Arial"/>
          <w:b/>
          <w:bCs/>
          <w:color w:val="111111"/>
          <w:sz w:val="21"/>
          <w:szCs w:val="21"/>
        </w:rPr>
        <w:br w:type="page"/>
      </w:r>
    </w:p>
    <w:p w:rsidR="00120B15" w:rsidRPr="00120B15" w:rsidRDefault="00120B15" w:rsidP="00120B15">
      <w:pPr>
        <w:shd w:val="clear" w:color="auto" w:fill="FFFFFF"/>
        <w:spacing w:after="120" w:line="240" w:lineRule="auto"/>
        <w:textAlignment w:val="baseline"/>
        <w:outlineLvl w:val="4"/>
        <w:rPr>
          <w:rFonts w:ascii="Arial" w:eastAsia="Times New Roman" w:hAnsi="Arial" w:cs="Arial"/>
          <w:b/>
          <w:bCs/>
          <w:color w:val="111111"/>
          <w:sz w:val="21"/>
          <w:szCs w:val="21"/>
        </w:rPr>
      </w:pPr>
      <w:r w:rsidRPr="00120B15">
        <w:rPr>
          <w:rFonts w:ascii="Arial" w:eastAsia="Times New Roman" w:hAnsi="Arial" w:cs="Arial"/>
          <w:b/>
          <w:bCs/>
          <w:color w:val="111111"/>
          <w:sz w:val="21"/>
          <w:szCs w:val="21"/>
        </w:rPr>
        <w:lastRenderedPageBreak/>
        <w:t>HL only</w:t>
      </w:r>
    </w:p>
    <w:p w:rsidR="00120B15" w:rsidRPr="00120B15" w:rsidRDefault="00120B15" w:rsidP="00120B15">
      <w:pPr>
        <w:shd w:val="clear" w:color="auto" w:fill="FFFFFF"/>
        <w:spacing w:after="120" w:line="264" w:lineRule="atLeast"/>
        <w:textAlignment w:val="baseline"/>
        <w:rPr>
          <w:rFonts w:ascii="Arial" w:eastAsia="Times New Roman" w:hAnsi="Arial" w:cs="Arial"/>
          <w:color w:val="222222"/>
          <w:sz w:val="16"/>
          <w:szCs w:val="16"/>
        </w:rPr>
      </w:pPr>
      <w:r w:rsidRPr="00120B15">
        <w:rPr>
          <w:rFonts w:ascii="Arial" w:eastAsia="Times New Roman" w:hAnsi="Arial" w:cs="Arial"/>
          <w:color w:val="222222"/>
          <w:sz w:val="16"/>
          <w:szCs w:val="16"/>
        </w:rPr>
        <w:t>This criterion assesses to what extent and how well students use mathematics in the exploration.</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Students are expected to produce work that is commensurate with the level of the course. The mathematics explored should either be part of the syllabus, or at a similar level or beyond. It should not be completely based on mathematics listed in the prior learning. If the level of mathematics is not commensurate with the level of the course, a maximum of two marks can be awarded for this criterion.</w:t>
      </w:r>
    </w:p>
    <w:p w:rsidR="00120B15" w:rsidRPr="00120B15" w:rsidRDefault="00120B15" w:rsidP="00120B15">
      <w:pPr>
        <w:shd w:val="clear" w:color="auto" w:fill="FFFFFF"/>
        <w:spacing w:after="0" w:line="264" w:lineRule="atLeast"/>
        <w:textAlignment w:val="baseline"/>
        <w:rPr>
          <w:rFonts w:ascii="Arial" w:eastAsia="Times New Roman" w:hAnsi="Arial" w:cs="Arial"/>
          <w:color w:val="222222"/>
          <w:sz w:val="16"/>
          <w:szCs w:val="16"/>
        </w:rPr>
      </w:pPr>
      <w:r w:rsidRPr="00120B15">
        <w:rPr>
          <w:rFonts w:ascii="inherit" w:eastAsia="Times New Roman" w:hAnsi="inherit" w:cs="Arial"/>
          <w:i/>
          <w:iCs/>
          <w:color w:val="222222"/>
          <w:sz w:val="16"/>
        </w:rPr>
        <w:t xml:space="preserve">The mathematics can be regarded as correct even if there are occasional minor errors as long as they do not detract from the flow of the mathematics or lead to an unreasonable outcome. Sophistication in mathematics may include understanding and use of challenging mathematical concepts, looking at a problem from different perspectives and seeing underlying structures to link different areas of mathematics. </w:t>
      </w:r>
      <w:proofErr w:type="spellStart"/>
      <w:r w:rsidRPr="00120B15">
        <w:rPr>
          <w:rFonts w:ascii="inherit" w:eastAsia="Times New Roman" w:hAnsi="inherit" w:cs="Arial"/>
          <w:i/>
          <w:iCs/>
          <w:color w:val="222222"/>
          <w:sz w:val="16"/>
        </w:rPr>
        <w:t>Rigour</w:t>
      </w:r>
      <w:proofErr w:type="spellEnd"/>
      <w:r w:rsidRPr="00120B15">
        <w:rPr>
          <w:rFonts w:ascii="inherit" w:eastAsia="Times New Roman" w:hAnsi="inherit" w:cs="Arial"/>
          <w:i/>
          <w:iCs/>
          <w:color w:val="222222"/>
          <w:sz w:val="16"/>
        </w:rPr>
        <w:t xml:space="preserve"> involves clarity of logic and language when making mathematical arguments and calculations. Precise mathematics is error-free and uses an appropriate level of accuracy at all times.</w:t>
      </w:r>
    </w:p>
    <w:tbl>
      <w:tblPr>
        <w:tblW w:w="9806" w:type="dxa"/>
        <w:shd w:val="clear" w:color="auto" w:fill="FFFFFF"/>
        <w:tblCellMar>
          <w:left w:w="0" w:type="dxa"/>
          <w:right w:w="0" w:type="dxa"/>
        </w:tblCellMar>
        <w:tblLook w:val="04A0"/>
      </w:tblPr>
      <w:tblGrid>
        <w:gridCol w:w="1190"/>
        <w:gridCol w:w="8616"/>
      </w:tblGrid>
      <w:tr w:rsidR="00120B15" w:rsidRPr="00120B15" w:rsidTr="00120B15">
        <w:tc>
          <w:tcPr>
            <w:tcW w:w="127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Achievement level</w:t>
            </w:r>
          </w:p>
        </w:tc>
        <w:tc>
          <w:tcPr>
            <w:tcW w:w="8110" w:type="dxa"/>
            <w:tcBorders>
              <w:top w:val="single" w:sz="4" w:space="0" w:color="888888"/>
              <w:left w:val="single" w:sz="4" w:space="0" w:color="888888"/>
              <w:bottom w:val="single" w:sz="4" w:space="0" w:color="888888"/>
              <w:right w:val="single" w:sz="4" w:space="0" w:color="888888"/>
            </w:tcBorders>
            <w:shd w:val="clear" w:color="auto" w:fill="ECECEC"/>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b/>
                <w:bCs/>
                <w:color w:val="888888"/>
                <w:sz w:val="16"/>
                <w:szCs w:val="16"/>
              </w:rPr>
            </w:pPr>
            <w:r w:rsidRPr="00120B15">
              <w:rPr>
                <w:rFonts w:ascii="inherit" w:eastAsia="Times New Roman" w:hAnsi="inherit" w:cs="Arial"/>
                <w:b/>
                <w:bCs/>
                <w:color w:val="888888"/>
                <w:sz w:val="16"/>
                <w:szCs w:val="16"/>
              </w:rPr>
              <w:t>Descriptor</w:t>
            </w:r>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The exploration does not reach the standard described by the descriptors below.</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3" w:history="1">
              <w:r w:rsidRPr="00120B15">
                <w:rPr>
                  <w:rFonts w:ascii="inherit" w:eastAsia="Times New Roman" w:hAnsi="inherit" w:cs="Arial"/>
                  <w:b/>
                  <w:bCs/>
                  <w:color w:val="094DE0"/>
                  <w:sz w:val="16"/>
                  <w:u w:val="single"/>
                </w:rPr>
                <w:t>Example 3</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Some relevant mathematics is used. Limited understanding is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4" w:history="1">
              <w:r w:rsidRPr="00120B15">
                <w:rPr>
                  <w:rFonts w:ascii="inherit" w:eastAsia="Times New Roman" w:hAnsi="inherit" w:cs="Arial"/>
                  <w:b/>
                  <w:bCs/>
                  <w:color w:val="094DE0"/>
                  <w:sz w:val="16"/>
                  <w:u w:val="single"/>
                </w:rPr>
                <w:t>Example 4</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Some relevant mathematics is used. The mathematics explored is partially correct. Some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5" w:history="1">
              <w:r w:rsidRPr="00120B15">
                <w:rPr>
                  <w:rFonts w:ascii="inherit" w:eastAsia="Times New Roman" w:hAnsi="inherit" w:cs="Arial"/>
                  <w:b/>
                  <w:bCs/>
                  <w:color w:val="094DE0"/>
                  <w:sz w:val="16"/>
                  <w:u w:val="single"/>
                </w:rPr>
                <w:t>Example 5</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Relevant mathematics commensurate with the level of the course is used. The mathematics explored is correct. Good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6" w:history="1">
              <w:r w:rsidRPr="00120B15">
                <w:rPr>
                  <w:rFonts w:ascii="inherit" w:eastAsia="Times New Roman" w:hAnsi="inherit" w:cs="Arial"/>
                  <w:b/>
                  <w:bCs/>
                  <w:color w:val="094DE0"/>
                  <w:sz w:val="16"/>
                  <w:u w:val="single"/>
                </w:rPr>
                <w:t>Example 6</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Relevant mathematics commensurate with the level of the course is used. The mathematics explored is correct and reflects the sophistication expected. Good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7" w:history="1">
              <w:r w:rsidRPr="00120B15">
                <w:rPr>
                  <w:rFonts w:ascii="inherit" w:eastAsia="Times New Roman" w:hAnsi="inherit" w:cs="Arial"/>
                  <w:b/>
                  <w:bCs/>
                  <w:color w:val="094DE0"/>
                  <w:sz w:val="16"/>
                  <w:u w:val="single"/>
                </w:rPr>
                <w:t>Example 1</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 xml:space="preserve">Relevant mathematics commensurate with the level of the course is used. The mathematics explored is correct and reflects the sophistication and </w:t>
            </w:r>
            <w:proofErr w:type="spellStart"/>
            <w:r w:rsidRPr="00120B15">
              <w:rPr>
                <w:rFonts w:ascii="inherit" w:eastAsia="Times New Roman" w:hAnsi="inherit" w:cs="Arial"/>
                <w:color w:val="222222"/>
                <w:sz w:val="16"/>
                <w:szCs w:val="16"/>
              </w:rPr>
              <w:t>rigour</w:t>
            </w:r>
            <w:proofErr w:type="spellEnd"/>
            <w:r w:rsidRPr="00120B15">
              <w:rPr>
                <w:rFonts w:ascii="inherit" w:eastAsia="Times New Roman" w:hAnsi="inherit" w:cs="Arial"/>
                <w:color w:val="222222"/>
                <w:sz w:val="16"/>
                <w:szCs w:val="16"/>
              </w:rPr>
              <w:t xml:space="preserve"> expected. Thorough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8" w:history="1">
              <w:r w:rsidRPr="00120B15">
                <w:rPr>
                  <w:rFonts w:ascii="inherit" w:eastAsia="Times New Roman" w:hAnsi="inherit" w:cs="Arial"/>
                  <w:b/>
                  <w:bCs/>
                  <w:color w:val="094DE0"/>
                  <w:sz w:val="16"/>
                  <w:u w:val="single"/>
                </w:rPr>
                <w:t>Example 7</w:t>
              </w:r>
            </w:hyperlink>
          </w:p>
        </w:tc>
      </w:tr>
      <w:tr w:rsidR="00120B15" w:rsidRPr="00120B15" w:rsidTr="00120B15">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jc w:val="center"/>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53" w:type="dxa"/>
              <w:left w:w="66" w:type="dxa"/>
              <w:bottom w:w="53" w:type="dxa"/>
              <w:right w:w="132" w:type="dxa"/>
            </w:tcMar>
            <w:hideMark/>
          </w:tcPr>
          <w:p w:rsidR="00120B15" w:rsidRPr="00120B15" w:rsidRDefault="00120B15" w:rsidP="00120B15">
            <w:pPr>
              <w:spacing w:after="120" w:line="264" w:lineRule="atLeast"/>
              <w:textAlignment w:val="baseline"/>
              <w:rPr>
                <w:rFonts w:ascii="inherit" w:eastAsia="Times New Roman" w:hAnsi="inherit" w:cs="Arial"/>
                <w:color w:val="222222"/>
                <w:sz w:val="16"/>
                <w:szCs w:val="16"/>
              </w:rPr>
            </w:pPr>
            <w:r w:rsidRPr="00120B15">
              <w:rPr>
                <w:rFonts w:ascii="inherit" w:eastAsia="Times New Roman" w:hAnsi="inherit" w:cs="Arial"/>
                <w:color w:val="222222"/>
                <w:sz w:val="16"/>
                <w:szCs w:val="16"/>
              </w:rPr>
              <w:t xml:space="preserve">Relevant mathematics commensurate with the level of the course is used. The mathematics explored is precise and reflects the sophistication and </w:t>
            </w:r>
            <w:proofErr w:type="spellStart"/>
            <w:r w:rsidRPr="00120B15">
              <w:rPr>
                <w:rFonts w:ascii="inherit" w:eastAsia="Times New Roman" w:hAnsi="inherit" w:cs="Arial"/>
                <w:color w:val="222222"/>
                <w:sz w:val="16"/>
                <w:szCs w:val="16"/>
              </w:rPr>
              <w:t>rigour</w:t>
            </w:r>
            <w:proofErr w:type="spellEnd"/>
            <w:r w:rsidRPr="00120B15">
              <w:rPr>
                <w:rFonts w:ascii="inherit" w:eastAsia="Times New Roman" w:hAnsi="inherit" w:cs="Arial"/>
                <w:color w:val="222222"/>
                <w:sz w:val="16"/>
                <w:szCs w:val="16"/>
              </w:rPr>
              <w:t xml:space="preserve"> expected. Thorough knowledge and understanding are demonstrated.</w:t>
            </w:r>
          </w:p>
          <w:p w:rsidR="00120B15" w:rsidRPr="00120B15" w:rsidRDefault="00120B15" w:rsidP="00120B15">
            <w:pPr>
              <w:spacing w:after="0" w:line="264" w:lineRule="atLeast"/>
              <w:textAlignment w:val="baseline"/>
              <w:rPr>
                <w:rFonts w:ascii="inherit" w:eastAsia="Times New Roman" w:hAnsi="inherit" w:cs="Arial"/>
                <w:color w:val="222222"/>
                <w:sz w:val="16"/>
                <w:szCs w:val="16"/>
              </w:rPr>
            </w:pPr>
            <w:hyperlink r:id="rId29" w:history="1">
              <w:r w:rsidRPr="00120B15">
                <w:rPr>
                  <w:rFonts w:ascii="inherit" w:eastAsia="Times New Roman" w:hAnsi="inherit" w:cs="Arial"/>
                  <w:b/>
                  <w:bCs/>
                  <w:color w:val="094DE0"/>
                  <w:sz w:val="16"/>
                  <w:u w:val="single"/>
                </w:rPr>
                <w:t>Example 2</w:t>
              </w:r>
            </w:hyperlink>
          </w:p>
        </w:tc>
      </w:tr>
    </w:tbl>
    <w:p w:rsidR="00120B15" w:rsidRDefault="00120B15" w:rsidP="00120B15">
      <w:pPr>
        <w:pStyle w:val="NormalWeb"/>
        <w:shd w:val="clear" w:color="auto" w:fill="FFFFFF"/>
        <w:spacing w:before="0" w:beforeAutospacing="0" w:after="120" w:afterAutospacing="0" w:line="264" w:lineRule="atLeast"/>
        <w:textAlignment w:val="baseline"/>
        <w:rPr>
          <w:rFonts w:ascii="Arial" w:hAnsi="Arial" w:cs="Arial"/>
          <w:color w:val="222222"/>
          <w:sz w:val="16"/>
          <w:szCs w:val="16"/>
        </w:rPr>
      </w:pPr>
    </w:p>
    <w:p w:rsidR="005B3FB4" w:rsidRDefault="00B05196"/>
    <w:p w:rsidR="00120B15" w:rsidRDefault="00120B15"/>
    <w:sectPr w:rsidR="00120B15" w:rsidSect="00AE3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2B03"/>
    <w:multiLevelType w:val="multilevel"/>
    <w:tmpl w:val="EBD0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characterSpacingControl w:val="doNotCompress"/>
  <w:compat/>
  <w:rsids>
    <w:rsidRoot w:val="00120B15"/>
    <w:rsid w:val="000058E5"/>
    <w:rsid w:val="0000604E"/>
    <w:rsid w:val="00017A0A"/>
    <w:rsid w:val="00017C84"/>
    <w:rsid w:val="0002251D"/>
    <w:rsid w:val="00026F03"/>
    <w:rsid w:val="00035367"/>
    <w:rsid w:val="00037E70"/>
    <w:rsid w:val="0004384C"/>
    <w:rsid w:val="00086924"/>
    <w:rsid w:val="000937F2"/>
    <w:rsid w:val="000A509A"/>
    <w:rsid w:val="000B1352"/>
    <w:rsid w:val="000B7604"/>
    <w:rsid w:val="000D293F"/>
    <w:rsid w:val="000D6396"/>
    <w:rsid w:val="0011293C"/>
    <w:rsid w:val="00115717"/>
    <w:rsid w:val="00120B15"/>
    <w:rsid w:val="00121F74"/>
    <w:rsid w:val="001234AC"/>
    <w:rsid w:val="001602E2"/>
    <w:rsid w:val="00187270"/>
    <w:rsid w:val="001B3059"/>
    <w:rsid w:val="001C6150"/>
    <w:rsid w:val="001D4094"/>
    <w:rsid w:val="001D43B7"/>
    <w:rsid w:val="00202119"/>
    <w:rsid w:val="002036AD"/>
    <w:rsid w:val="00214307"/>
    <w:rsid w:val="00216B1D"/>
    <w:rsid w:val="0021709D"/>
    <w:rsid w:val="0022696C"/>
    <w:rsid w:val="002335B3"/>
    <w:rsid w:val="00241E54"/>
    <w:rsid w:val="00247C81"/>
    <w:rsid w:val="002546F6"/>
    <w:rsid w:val="002554B7"/>
    <w:rsid w:val="002A532A"/>
    <w:rsid w:val="002E0B04"/>
    <w:rsid w:val="002E2174"/>
    <w:rsid w:val="002F1764"/>
    <w:rsid w:val="002F1EB0"/>
    <w:rsid w:val="0030364A"/>
    <w:rsid w:val="00317A68"/>
    <w:rsid w:val="003274BF"/>
    <w:rsid w:val="00332F74"/>
    <w:rsid w:val="00346273"/>
    <w:rsid w:val="00373059"/>
    <w:rsid w:val="00373B98"/>
    <w:rsid w:val="00396FEC"/>
    <w:rsid w:val="003A2BDA"/>
    <w:rsid w:val="003A33C2"/>
    <w:rsid w:val="003A7081"/>
    <w:rsid w:val="003D04FD"/>
    <w:rsid w:val="003F603F"/>
    <w:rsid w:val="00421AC4"/>
    <w:rsid w:val="0043469C"/>
    <w:rsid w:val="00435695"/>
    <w:rsid w:val="004A04AF"/>
    <w:rsid w:val="004C1340"/>
    <w:rsid w:val="004D4FA5"/>
    <w:rsid w:val="004E12FB"/>
    <w:rsid w:val="0050186E"/>
    <w:rsid w:val="0054177E"/>
    <w:rsid w:val="00541B01"/>
    <w:rsid w:val="00556BA4"/>
    <w:rsid w:val="00564092"/>
    <w:rsid w:val="00565840"/>
    <w:rsid w:val="00573109"/>
    <w:rsid w:val="00586E4B"/>
    <w:rsid w:val="005A0A22"/>
    <w:rsid w:val="005B7441"/>
    <w:rsid w:val="005C3ACE"/>
    <w:rsid w:val="005D3EE9"/>
    <w:rsid w:val="005D6E06"/>
    <w:rsid w:val="005E022C"/>
    <w:rsid w:val="00611062"/>
    <w:rsid w:val="0061172C"/>
    <w:rsid w:val="006422E6"/>
    <w:rsid w:val="00660157"/>
    <w:rsid w:val="006C38FB"/>
    <w:rsid w:val="006D6813"/>
    <w:rsid w:val="00701F17"/>
    <w:rsid w:val="00721E96"/>
    <w:rsid w:val="007277CA"/>
    <w:rsid w:val="007336BC"/>
    <w:rsid w:val="00754F1E"/>
    <w:rsid w:val="00770B64"/>
    <w:rsid w:val="00781A10"/>
    <w:rsid w:val="007A26A8"/>
    <w:rsid w:val="007B47E0"/>
    <w:rsid w:val="007B5079"/>
    <w:rsid w:val="007C4A14"/>
    <w:rsid w:val="007C6C12"/>
    <w:rsid w:val="007D65D0"/>
    <w:rsid w:val="007F73FC"/>
    <w:rsid w:val="00800989"/>
    <w:rsid w:val="00806EAD"/>
    <w:rsid w:val="00814274"/>
    <w:rsid w:val="008240C9"/>
    <w:rsid w:val="008302C1"/>
    <w:rsid w:val="00834A0E"/>
    <w:rsid w:val="0083604F"/>
    <w:rsid w:val="00847521"/>
    <w:rsid w:val="00856C3B"/>
    <w:rsid w:val="008643E0"/>
    <w:rsid w:val="008851D4"/>
    <w:rsid w:val="0089337A"/>
    <w:rsid w:val="008A0350"/>
    <w:rsid w:val="008A107D"/>
    <w:rsid w:val="008B7AC4"/>
    <w:rsid w:val="008C67AD"/>
    <w:rsid w:val="008F2123"/>
    <w:rsid w:val="009018C7"/>
    <w:rsid w:val="0090242C"/>
    <w:rsid w:val="009358BF"/>
    <w:rsid w:val="00943F3B"/>
    <w:rsid w:val="00964DD4"/>
    <w:rsid w:val="00965869"/>
    <w:rsid w:val="00974EC7"/>
    <w:rsid w:val="009854D8"/>
    <w:rsid w:val="009A30E7"/>
    <w:rsid w:val="009A3789"/>
    <w:rsid w:val="009B549D"/>
    <w:rsid w:val="009B6C71"/>
    <w:rsid w:val="009B719A"/>
    <w:rsid w:val="009C023D"/>
    <w:rsid w:val="009F3803"/>
    <w:rsid w:val="00A039A7"/>
    <w:rsid w:val="00A14430"/>
    <w:rsid w:val="00A349CC"/>
    <w:rsid w:val="00A604B4"/>
    <w:rsid w:val="00A81603"/>
    <w:rsid w:val="00A92AFE"/>
    <w:rsid w:val="00A92C00"/>
    <w:rsid w:val="00A96FD5"/>
    <w:rsid w:val="00AA41B5"/>
    <w:rsid w:val="00AD49E1"/>
    <w:rsid w:val="00AE3F0A"/>
    <w:rsid w:val="00AE7666"/>
    <w:rsid w:val="00AF0E4B"/>
    <w:rsid w:val="00B045F5"/>
    <w:rsid w:val="00B26624"/>
    <w:rsid w:val="00B33683"/>
    <w:rsid w:val="00B44FF4"/>
    <w:rsid w:val="00B567D6"/>
    <w:rsid w:val="00B652A4"/>
    <w:rsid w:val="00B6752E"/>
    <w:rsid w:val="00B745CB"/>
    <w:rsid w:val="00B766A7"/>
    <w:rsid w:val="00B91A50"/>
    <w:rsid w:val="00BB1A6E"/>
    <w:rsid w:val="00BB2DAD"/>
    <w:rsid w:val="00BC5F8D"/>
    <w:rsid w:val="00BE145F"/>
    <w:rsid w:val="00BF202D"/>
    <w:rsid w:val="00BF2594"/>
    <w:rsid w:val="00BF277A"/>
    <w:rsid w:val="00C31F59"/>
    <w:rsid w:val="00C32E8A"/>
    <w:rsid w:val="00C5724A"/>
    <w:rsid w:val="00C6152E"/>
    <w:rsid w:val="00C71E2D"/>
    <w:rsid w:val="00C74A22"/>
    <w:rsid w:val="00C95533"/>
    <w:rsid w:val="00C95B1F"/>
    <w:rsid w:val="00CA6BF8"/>
    <w:rsid w:val="00CC313A"/>
    <w:rsid w:val="00CD6EAD"/>
    <w:rsid w:val="00CF14B8"/>
    <w:rsid w:val="00D121D4"/>
    <w:rsid w:val="00D27D7A"/>
    <w:rsid w:val="00D3096E"/>
    <w:rsid w:val="00D55F33"/>
    <w:rsid w:val="00D6526E"/>
    <w:rsid w:val="00D777E3"/>
    <w:rsid w:val="00D8427D"/>
    <w:rsid w:val="00D93E1C"/>
    <w:rsid w:val="00DA7D25"/>
    <w:rsid w:val="00DC63A6"/>
    <w:rsid w:val="00DE32E5"/>
    <w:rsid w:val="00E014CA"/>
    <w:rsid w:val="00E0358B"/>
    <w:rsid w:val="00E61414"/>
    <w:rsid w:val="00E71975"/>
    <w:rsid w:val="00E73A6C"/>
    <w:rsid w:val="00E75986"/>
    <w:rsid w:val="00E771F3"/>
    <w:rsid w:val="00E83006"/>
    <w:rsid w:val="00E917EE"/>
    <w:rsid w:val="00EA68D4"/>
    <w:rsid w:val="00EA79DA"/>
    <w:rsid w:val="00EB3A61"/>
    <w:rsid w:val="00EC2ADE"/>
    <w:rsid w:val="00EC514F"/>
    <w:rsid w:val="00EC6ADA"/>
    <w:rsid w:val="00F02D50"/>
    <w:rsid w:val="00F05466"/>
    <w:rsid w:val="00F075C9"/>
    <w:rsid w:val="00F1320F"/>
    <w:rsid w:val="00F200F0"/>
    <w:rsid w:val="00F22285"/>
    <w:rsid w:val="00F63E1E"/>
    <w:rsid w:val="00F66ACC"/>
    <w:rsid w:val="00F73FAC"/>
    <w:rsid w:val="00FA1258"/>
    <w:rsid w:val="00FB2E2D"/>
    <w:rsid w:val="00FB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0A"/>
  </w:style>
  <w:style w:type="paragraph" w:styleId="Heading3">
    <w:name w:val="heading 3"/>
    <w:basedOn w:val="Normal"/>
    <w:link w:val="Heading3Char"/>
    <w:uiPriority w:val="9"/>
    <w:qFormat/>
    <w:rsid w:val="00120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0B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20B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B15"/>
  </w:style>
  <w:style w:type="character" w:styleId="Strong">
    <w:name w:val="Strong"/>
    <w:basedOn w:val="DefaultParagraphFont"/>
    <w:uiPriority w:val="22"/>
    <w:qFormat/>
    <w:rsid w:val="00120B15"/>
    <w:rPr>
      <w:b/>
      <w:bCs/>
    </w:rPr>
  </w:style>
  <w:style w:type="character" w:customStyle="1" w:styleId="Heading3Char">
    <w:name w:val="Heading 3 Char"/>
    <w:basedOn w:val="DefaultParagraphFont"/>
    <w:link w:val="Heading3"/>
    <w:uiPriority w:val="9"/>
    <w:rsid w:val="00120B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0B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20B15"/>
    <w:rPr>
      <w:rFonts w:ascii="Times New Roman" w:eastAsia="Times New Roman" w:hAnsi="Times New Roman" w:cs="Times New Roman"/>
      <w:b/>
      <w:bCs/>
      <w:sz w:val="20"/>
      <w:szCs w:val="20"/>
    </w:rPr>
  </w:style>
  <w:style w:type="paragraph" w:customStyle="1" w:styleId="tableheader">
    <w:name w:val="tableheader"/>
    <w:basedOn w:val="Normal"/>
    <w:rsid w:val="00120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achievementdescriptor">
    <w:name w:val="tableachievementdescriptor"/>
    <w:basedOn w:val="Normal"/>
    <w:rsid w:val="00120B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0B15"/>
    <w:rPr>
      <w:i/>
      <w:iCs/>
    </w:rPr>
  </w:style>
  <w:style w:type="paragraph" w:customStyle="1" w:styleId="tableheadercentred">
    <w:name w:val="tableheadercentred"/>
    <w:basedOn w:val="Normal"/>
    <w:rsid w:val="00120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centred">
    <w:name w:val="tablebodycentred"/>
    <w:basedOn w:val="Normal"/>
    <w:rsid w:val="00120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120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401867">
      <w:bodyDiv w:val="1"/>
      <w:marLeft w:val="0"/>
      <w:marRight w:val="0"/>
      <w:marTop w:val="0"/>
      <w:marBottom w:val="0"/>
      <w:divBdr>
        <w:top w:val="none" w:sz="0" w:space="0" w:color="auto"/>
        <w:left w:val="none" w:sz="0" w:space="0" w:color="auto"/>
        <w:bottom w:val="none" w:sz="0" w:space="0" w:color="auto"/>
        <w:right w:val="none" w:sz="0" w:space="0" w:color="auto"/>
      </w:divBdr>
    </w:div>
    <w:div w:id="4653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mltwo.ibo.org/publications/DP/Group5/d_5_matsl_tsm_1205_1/html/content/exist/rest/app/tsm.xql@doc=d_5_matsl_tsm_1205_1_e&amp;part=2&amp;chapter=6.html" TargetMode="External"/><Relationship Id="rId13" Type="http://schemas.openxmlformats.org/officeDocument/2006/relationships/hyperlink" Target="http://xmltwo.ibo.org/publications/DP/Group5/d_5_matsl_tsm_1205_1/html/content/exist/rest/app/tsm.xql@doc=d_5_matsl_tsm_1205_1_e&amp;part=2&amp;chapter=9.html" TargetMode="External"/><Relationship Id="rId18" Type="http://schemas.openxmlformats.org/officeDocument/2006/relationships/hyperlink" Target="http://xmltwo.ibo.org/publications/DP/Group5/d_5_matsl_tsm_1205_1/html/content/exist/rest/app/tsm.xql@doc=d_5_matsl_tsm_1205_1_e&amp;part=2&amp;chapter=5.html" TargetMode="External"/><Relationship Id="rId26" Type="http://schemas.openxmlformats.org/officeDocument/2006/relationships/hyperlink" Target="http://xmltwo.ibo.org/publications/DP/Group5/d_5_matsl_tsm_1205_1/html/content/exist/rest/app/tsm.xql@doc=d_5_matsl_tsm_1205_1_e&amp;part=2&amp;chapter=8.html" TargetMode="External"/><Relationship Id="rId3" Type="http://schemas.openxmlformats.org/officeDocument/2006/relationships/settings" Target="settings.xml"/><Relationship Id="rId21" Type="http://schemas.openxmlformats.org/officeDocument/2006/relationships/hyperlink" Target="http://xmltwo.ibo.org/publications/DP/Group5/d_5_matsl_tsm_1205_1/html/content/exist/rest/app/tsm.xql@doc=d_5_matsl_tsm_1205_1_e&amp;part=2&amp;chapter=10.html" TargetMode="External"/><Relationship Id="rId7" Type="http://schemas.openxmlformats.org/officeDocument/2006/relationships/hyperlink" Target="http://xmltwo.ibo.org/publications/DP/Group5/d_5_matsl_tsm_1205_1/html/content/exist/rest/app/tsm.xql@doc=d_5_matsl_tsm_1205_1_e&amp;part=2&amp;chapter=11.html" TargetMode="External"/><Relationship Id="rId12" Type="http://schemas.openxmlformats.org/officeDocument/2006/relationships/hyperlink" Target="http://xmltwo.ibo.org/publications/DP/Group5/d_5_matsl_tsm_1205_1/html/content/exist/rest/app/tsm.xql@doc=d_5_matsl_tsm_1205_1_e&amp;part=2&amp;chapter=7.html" TargetMode="External"/><Relationship Id="rId17" Type="http://schemas.openxmlformats.org/officeDocument/2006/relationships/hyperlink" Target="http://xmltwo.ibo.org/publications/DP/Group5/d_5_matsl_tsm_1205_1/html/content/exist/rest/app/tsm.xql@doc=d_5_matsl_tsm_1205_1_e&amp;part=2&amp;chapter=8.html" TargetMode="External"/><Relationship Id="rId25" Type="http://schemas.openxmlformats.org/officeDocument/2006/relationships/hyperlink" Target="http://xmltwo.ibo.org/publications/DP/Group5/d_5_matsl_tsm_1205_1/html/content/exist/rest/app/tsm.xql@doc=d_5_matsl_tsm_1205_1_e&amp;part=2&amp;chapter=7.html" TargetMode="External"/><Relationship Id="rId2" Type="http://schemas.openxmlformats.org/officeDocument/2006/relationships/styles" Target="styles.xml"/><Relationship Id="rId16" Type="http://schemas.openxmlformats.org/officeDocument/2006/relationships/hyperlink" Target="http://xmltwo.ibo.org/publications/DP/Group5/d_5_matsl_tsm_1205_1/html/content/exist/rest/app/tsm.xql@doc=d_5_matsl_tsm_1205_1_e&amp;part=2&amp;chapter=10.html" TargetMode="External"/><Relationship Id="rId20" Type="http://schemas.openxmlformats.org/officeDocument/2006/relationships/hyperlink" Target="http://xmltwo.ibo.org/publications/DP/Group5/d_5_matsl_tsm_1205_1/html/content/exist/rest/app/tsm.xql@doc=d_5_matsl_tsm_1205_1_e&amp;part=2&amp;chapter=11.html" TargetMode="External"/><Relationship Id="rId29" Type="http://schemas.openxmlformats.org/officeDocument/2006/relationships/hyperlink" Target="http://xmltwo.ibo.org/publications/DP/Group5/d_5_matsl_tsm_1205_1/html/content/exist/rest/app/tsm.xql@doc=d_5_matsl_tsm_1205_1_e&amp;part=2&amp;chapter=4.html" TargetMode="External"/><Relationship Id="rId1" Type="http://schemas.openxmlformats.org/officeDocument/2006/relationships/numbering" Target="numbering.xml"/><Relationship Id="rId6" Type="http://schemas.openxmlformats.org/officeDocument/2006/relationships/hyperlink" Target="http://xmltwo.ibo.org/publications/DP/Group5/d_5_matsl_tsm_1205_1/html/content/exist/rest/app/tsm.xql@doc=d_5_matsl_tsm_1205_1_e&amp;part=2&amp;chapter=10.html" TargetMode="External"/><Relationship Id="rId11" Type="http://schemas.openxmlformats.org/officeDocument/2006/relationships/hyperlink" Target="http://xmltwo.ibo.org/publications/DP/Group5/d_5_matsl_tsm_1205_1/html/content/exist/rest/app/tsm.xql@doc=d_5_matsl_tsm_1205_1_e&amp;part=2&amp;chapter=5.html" TargetMode="External"/><Relationship Id="rId24" Type="http://schemas.openxmlformats.org/officeDocument/2006/relationships/hyperlink" Target="http://xmltwo.ibo.org/publications/DP/Group5/d_5_matsl_tsm_1205_1/html/content/exist/rest/app/tsm.xql@doc=d_5_matsl_tsm_1205_1_e&amp;part=2&amp;chapter=6.html" TargetMode="External"/><Relationship Id="rId5" Type="http://schemas.openxmlformats.org/officeDocument/2006/relationships/hyperlink" Target="http://xmltwo.ibo.org/publications/DP/Group5/d_5_matsl_tsm_1205_1/html/content/exist/rest/app/tsm.xql@doc=d_5_matsl_tsm_1205_1_e&amp;part=2&amp;chapter=3.html" TargetMode="External"/><Relationship Id="rId15" Type="http://schemas.openxmlformats.org/officeDocument/2006/relationships/hyperlink" Target="http://xmltwo.ibo.org/publications/DP/Group5/d_5_matsl_tsm_1205_1/html/content/exist/rest/app/tsm.xql@doc=d_5_matsl_tsm_1205_1_e&amp;part=2&amp;chapter=7.html" TargetMode="External"/><Relationship Id="rId23" Type="http://schemas.openxmlformats.org/officeDocument/2006/relationships/hyperlink" Target="http://xmltwo.ibo.org/publications/DP/Group5/d_5_matsl_tsm_1205_1/html/content/exist/rest/app/tsm.xql@doc=d_5_matsl_tsm_1205_1_e&amp;part=2&amp;chapter=5.html" TargetMode="External"/><Relationship Id="rId28" Type="http://schemas.openxmlformats.org/officeDocument/2006/relationships/hyperlink" Target="http://xmltwo.ibo.org/publications/DP/Group5/d_5_matsl_tsm_1205_1/html/content/exist/rest/app/tsm.xql@doc=d_5_matsl_tsm_1205_1_e&amp;part=2&amp;chapter=9.html" TargetMode="External"/><Relationship Id="rId10" Type="http://schemas.openxmlformats.org/officeDocument/2006/relationships/hyperlink" Target="http://xmltwo.ibo.org/publications/DP/Group5/d_5_matsl_tsm_1205_1/html/content/exist/rest/app/tsm.xql@doc=d_5_matsl_tsm_1205_1_e&amp;part=2&amp;chapter=3.html" TargetMode="External"/><Relationship Id="rId19" Type="http://schemas.openxmlformats.org/officeDocument/2006/relationships/hyperlink" Target="http://xmltwo.ibo.org/publications/DP/Group5/d_5_matsl_tsm_1205_1/html/content/exist/rest/app/tsm.xql@doc=d_5_matsl_tsm_1205_1_e&amp;part=2&amp;chapter=6.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mltwo.ibo.org/publications/DP/Group5/d_5_matsl_tsm_1205_1/html/content/exist/rest/app/tsm.xql@doc=d_5_matsl_tsm_1205_1_e&amp;part=2&amp;chapter=11.html" TargetMode="External"/><Relationship Id="rId14" Type="http://schemas.openxmlformats.org/officeDocument/2006/relationships/hyperlink" Target="http://xmltwo.ibo.org/publications/DP/Group5/d_5_matsl_tsm_1205_1/html/content/exist/rest/app/tsm.xql@doc=d_5_matsl_tsm_1205_1_e&amp;part=2&amp;chapter=8.html" TargetMode="External"/><Relationship Id="rId22" Type="http://schemas.openxmlformats.org/officeDocument/2006/relationships/hyperlink" Target="http://xmltwo.ibo.org/publications/DP/Group5/d_5_matsl_tsm_1205_1/html/content/exist/rest/app/tsm.xql@doc=d_5_matsl_tsm_1205_1_e&amp;part=2&amp;chapter=4.html" TargetMode="External"/><Relationship Id="rId27" Type="http://schemas.openxmlformats.org/officeDocument/2006/relationships/hyperlink" Target="http://xmltwo.ibo.org/publications/DP/Group5/d_5_matsl_tsm_1205_1/html/content/exist/rest/app/tsm.xql@doc=d_5_matsl_tsm_1205_1_e&amp;part=2&amp;chapter=3.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13583</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dc:description/>
  <cp:lastModifiedBy>HHS</cp:lastModifiedBy>
  <cp:revision>2</cp:revision>
  <dcterms:created xsi:type="dcterms:W3CDTF">2012-11-27T15:13:00Z</dcterms:created>
  <dcterms:modified xsi:type="dcterms:W3CDTF">2012-11-27T15:13:00Z</dcterms:modified>
</cp:coreProperties>
</file>